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16" w:rsidRDefault="00FE1016" w:rsidP="00FE1016">
      <w:r>
        <w:rPr>
          <w:noProof/>
        </w:rPr>
        <w:drawing>
          <wp:inline distT="0" distB="0" distL="0" distR="0">
            <wp:extent cx="1336675" cy="1085215"/>
            <wp:effectExtent l="19050" t="0" r="0" b="0"/>
            <wp:docPr id="1" name="Picture 1" descr="cf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2"/>
                    <pic:cNvPicPr>
                      <a:picLocks noChangeAspect="1" noChangeArrowheads="1"/>
                    </pic:cNvPicPr>
                  </pic:nvPicPr>
                  <pic:blipFill>
                    <a:blip r:embed="rId8" cstate="print"/>
                    <a:srcRect/>
                    <a:stretch>
                      <a:fillRect/>
                    </a:stretch>
                  </pic:blipFill>
                  <pic:spPr bwMode="auto">
                    <a:xfrm>
                      <a:off x="0" y="0"/>
                      <a:ext cx="1336675" cy="1085215"/>
                    </a:xfrm>
                    <a:prstGeom prst="rect">
                      <a:avLst/>
                    </a:prstGeom>
                    <a:noFill/>
                    <a:ln w="9525">
                      <a:noFill/>
                      <a:miter lim="800000"/>
                      <a:headEnd/>
                      <a:tailEnd/>
                    </a:ln>
                  </pic:spPr>
                </pic:pic>
              </a:graphicData>
            </a:graphic>
          </wp:inline>
        </w:drawing>
      </w:r>
    </w:p>
    <w:p w:rsidR="00FE1016" w:rsidRDefault="00FE1016" w:rsidP="00FE1016">
      <w:pPr>
        <w:rPr>
          <w:rFonts w:ascii="Arial" w:hAnsi="Arial"/>
          <w:sz w:val="16"/>
          <w:szCs w:val="16"/>
        </w:rPr>
      </w:pPr>
      <w:smartTag w:uri="urn:schemas-microsoft-com:office:smarttags" w:element="Street">
        <w:smartTag w:uri="urn:schemas-microsoft-com:office:smarttags" w:element="address">
          <w:r>
            <w:rPr>
              <w:rFonts w:ascii="Arial" w:hAnsi="Arial"/>
              <w:sz w:val="16"/>
              <w:szCs w:val="16"/>
            </w:rPr>
            <w:t>1107 9</w:t>
          </w:r>
          <w:r w:rsidRPr="00DA7B1F">
            <w:rPr>
              <w:rFonts w:ascii="Arial" w:hAnsi="Arial"/>
              <w:sz w:val="16"/>
              <w:szCs w:val="16"/>
              <w:vertAlign w:val="superscript"/>
            </w:rPr>
            <w:t>th</w:t>
          </w:r>
          <w:r>
            <w:rPr>
              <w:rFonts w:ascii="Arial" w:hAnsi="Arial"/>
              <w:sz w:val="16"/>
              <w:szCs w:val="16"/>
            </w:rPr>
            <w:t xml:space="preserve"> Street, Suite 625</w:t>
          </w:r>
        </w:smartTag>
      </w:smartTag>
      <w:r>
        <w:rPr>
          <w:rFonts w:ascii="Arial" w:hAnsi="Arial"/>
          <w:sz w:val="16"/>
          <w:szCs w:val="16"/>
        </w:rPr>
        <w:t xml:space="preserve"> </w:t>
      </w:r>
      <w:r w:rsidRPr="001A00D4">
        <w:rPr>
          <w:rFonts w:ascii="Arial" w:hAnsi="Arial"/>
          <w:sz w:val="16"/>
          <w:szCs w:val="16"/>
        </w:rPr>
        <w:t xml:space="preserve">• </w:t>
      </w:r>
      <w:smartTag w:uri="urn:schemas-microsoft-com:office:smarttags" w:element="place">
        <w:smartTag w:uri="urn:schemas-microsoft-com:office:smarttags" w:element="City">
          <w:r>
            <w:rPr>
              <w:rFonts w:ascii="Arial" w:hAnsi="Arial"/>
              <w:sz w:val="16"/>
              <w:szCs w:val="16"/>
            </w:rPr>
            <w:t>Sacramento</w:t>
          </w:r>
        </w:smartTag>
        <w:r w:rsidRPr="001A00D4">
          <w:rPr>
            <w:rFonts w:ascii="Arial" w:hAnsi="Arial"/>
            <w:sz w:val="16"/>
            <w:szCs w:val="16"/>
          </w:rPr>
          <w:t xml:space="preserve">, </w:t>
        </w:r>
        <w:smartTag w:uri="urn:schemas-microsoft-com:office:smarttags" w:element="State">
          <w:r w:rsidRPr="001A00D4">
            <w:rPr>
              <w:rFonts w:ascii="Arial" w:hAnsi="Arial"/>
              <w:sz w:val="16"/>
              <w:szCs w:val="16"/>
            </w:rPr>
            <w:t>CA</w:t>
          </w:r>
        </w:smartTag>
        <w:r w:rsidRPr="001A00D4">
          <w:rPr>
            <w:rFonts w:ascii="Arial" w:hAnsi="Arial"/>
            <w:sz w:val="16"/>
            <w:szCs w:val="16"/>
          </w:rPr>
          <w:t xml:space="preserve"> </w:t>
        </w:r>
        <w:smartTag w:uri="urn:schemas-microsoft-com:office:smarttags" w:element="PostalCode">
          <w:r w:rsidRPr="001A00D4">
            <w:rPr>
              <w:rFonts w:ascii="Arial" w:hAnsi="Arial"/>
              <w:sz w:val="16"/>
              <w:szCs w:val="16"/>
            </w:rPr>
            <w:t>9</w:t>
          </w:r>
          <w:r>
            <w:rPr>
              <w:rFonts w:ascii="Arial" w:hAnsi="Arial"/>
              <w:sz w:val="16"/>
              <w:szCs w:val="16"/>
            </w:rPr>
            <w:t>5814</w:t>
          </w:r>
        </w:smartTag>
      </w:smartTag>
      <w:r w:rsidRPr="001A00D4">
        <w:rPr>
          <w:rFonts w:ascii="Arial" w:hAnsi="Arial"/>
          <w:sz w:val="16"/>
          <w:szCs w:val="16"/>
        </w:rPr>
        <w:t xml:space="preserve"> • (</w:t>
      </w:r>
      <w:r>
        <w:rPr>
          <w:rFonts w:ascii="Arial" w:hAnsi="Arial"/>
          <w:sz w:val="16"/>
          <w:szCs w:val="16"/>
        </w:rPr>
        <w:t>916</w:t>
      </w:r>
      <w:r w:rsidRPr="001A00D4">
        <w:rPr>
          <w:rFonts w:ascii="Arial" w:hAnsi="Arial"/>
          <w:sz w:val="16"/>
          <w:szCs w:val="16"/>
        </w:rPr>
        <w:t xml:space="preserve">) </w:t>
      </w:r>
      <w:r>
        <w:rPr>
          <w:rFonts w:ascii="Arial" w:hAnsi="Arial"/>
          <w:sz w:val="16"/>
          <w:szCs w:val="16"/>
        </w:rPr>
        <w:t>498</w:t>
      </w:r>
      <w:r w:rsidRPr="001A00D4">
        <w:rPr>
          <w:rFonts w:ascii="Arial" w:hAnsi="Arial"/>
          <w:sz w:val="16"/>
          <w:szCs w:val="16"/>
        </w:rPr>
        <w:t>-</w:t>
      </w:r>
      <w:r>
        <w:rPr>
          <w:rFonts w:ascii="Arial" w:hAnsi="Arial"/>
          <w:sz w:val="16"/>
          <w:szCs w:val="16"/>
        </w:rPr>
        <w:t>9608</w:t>
      </w:r>
      <w:r w:rsidRPr="001A00D4">
        <w:rPr>
          <w:rFonts w:ascii="Arial" w:hAnsi="Arial"/>
          <w:sz w:val="16"/>
          <w:szCs w:val="16"/>
        </w:rPr>
        <w:t xml:space="preserve"> • </w:t>
      </w:r>
      <w:hyperlink r:id="rId9" w:history="1">
        <w:r w:rsidRPr="009572C9">
          <w:rPr>
            <w:rStyle w:val="Hyperlink"/>
            <w:rFonts w:ascii="Arial" w:hAnsi="Arial"/>
            <w:sz w:val="16"/>
            <w:szCs w:val="16"/>
          </w:rPr>
          <w:t>mail@consumercal.org</w:t>
        </w:r>
      </w:hyperlink>
    </w:p>
    <w:p w:rsidR="00FF65EB" w:rsidRDefault="00FF65EB" w:rsidP="002578F3">
      <w:pPr>
        <w:ind w:right="-360"/>
        <w:jc w:val="center"/>
        <w:rPr>
          <w:b/>
          <w:color w:val="000000"/>
          <w:sz w:val="32"/>
          <w:szCs w:val="32"/>
          <w:lang w:eastAsia="ar-SA"/>
        </w:rPr>
      </w:pPr>
    </w:p>
    <w:p w:rsidR="00C07BF7" w:rsidRDefault="00C07BF7" w:rsidP="002578F3">
      <w:pPr>
        <w:ind w:right="-360"/>
        <w:jc w:val="center"/>
        <w:rPr>
          <w:b/>
          <w:color w:val="000000"/>
          <w:sz w:val="32"/>
          <w:szCs w:val="32"/>
          <w:lang w:eastAsia="ar-SA"/>
        </w:rPr>
      </w:pPr>
    </w:p>
    <w:p w:rsidR="002578F3" w:rsidRDefault="00927431" w:rsidP="002578F3">
      <w:pPr>
        <w:ind w:right="-360"/>
        <w:jc w:val="center"/>
        <w:rPr>
          <w:b/>
          <w:color w:val="000000"/>
          <w:sz w:val="32"/>
          <w:szCs w:val="32"/>
          <w:lang w:eastAsia="ar-SA"/>
        </w:rPr>
      </w:pPr>
      <w:r>
        <w:rPr>
          <w:b/>
          <w:color w:val="000000"/>
          <w:sz w:val="32"/>
          <w:szCs w:val="32"/>
          <w:lang w:eastAsia="ar-SA"/>
        </w:rPr>
        <w:t xml:space="preserve">May </w:t>
      </w:r>
      <w:r w:rsidR="00606E20">
        <w:rPr>
          <w:b/>
          <w:color w:val="000000"/>
          <w:sz w:val="32"/>
          <w:szCs w:val="32"/>
          <w:lang w:eastAsia="ar-SA"/>
        </w:rPr>
        <w:t>31</w:t>
      </w:r>
      <w:r w:rsidR="00724C1B">
        <w:rPr>
          <w:b/>
          <w:color w:val="000000"/>
          <w:sz w:val="32"/>
          <w:szCs w:val="32"/>
          <w:lang w:eastAsia="ar-SA"/>
        </w:rPr>
        <w:t>, 2017</w:t>
      </w:r>
    </w:p>
    <w:p w:rsidR="002578F3" w:rsidRDefault="002578F3" w:rsidP="002578F3">
      <w:pPr>
        <w:ind w:right="-360"/>
        <w:jc w:val="center"/>
        <w:rPr>
          <w:b/>
          <w:color w:val="000000"/>
          <w:sz w:val="20"/>
          <w:szCs w:val="20"/>
          <w:lang w:eastAsia="ar-SA"/>
        </w:rPr>
      </w:pPr>
    </w:p>
    <w:p w:rsidR="00C07BF7" w:rsidRPr="000D74F6" w:rsidRDefault="00C07BF7" w:rsidP="002578F3">
      <w:pPr>
        <w:ind w:right="-360"/>
        <w:jc w:val="center"/>
        <w:rPr>
          <w:b/>
          <w:color w:val="000000"/>
          <w:sz w:val="20"/>
          <w:szCs w:val="20"/>
          <w:lang w:eastAsia="ar-SA"/>
        </w:rPr>
      </w:pPr>
    </w:p>
    <w:p w:rsidR="002578F3" w:rsidRPr="002578F3" w:rsidRDefault="00927431" w:rsidP="002578F3">
      <w:pPr>
        <w:ind w:right="-360"/>
        <w:jc w:val="center"/>
        <w:rPr>
          <w:b/>
          <w:color w:val="000000"/>
          <w:sz w:val="36"/>
          <w:szCs w:val="36"/>
          <w:lang w:eastAsia="ar-SA"/>
        </w:rPr>
      </w:pPr>
      <w:r>
        <w:rPr>
          <w:b/>
          <w:color w:val="000000"/>
          <w:sz w:val="36"/>
          <w:szCs w:val="36"/>
          <w:lang w:eastAsia="ar-SA"/>
        </w:rPr>
        <w:t>ASSEMBLY</w:t>
      </w:r>
      <w:r w:rsidR="002578F3" w:rsidRPr="002578F3">
        <w:rPr>
          <w:b/>
          <w:color w:val="000000"/>
          <w:sz w:val="36"/>
          <w:szCs w:val="36"/>
          <w:lang w:eastAsia="ar-SA"/>
        </w:rPr>
        <w:t xml:space="preserve"> FLOOR ALERT</w:t>
      </w:r>
    </w:p>
    <w:p w:rsidR="002578F3" w:rsidRPr="00DF1CB1" w:rsidRDefault="00927431" w:rsidP="002578F3">
      <w:pPr>
        <w:ind w:right="-360"/>
        <w:jc w:val="center"/>
        <w:rPr>
          <w:b/>
          <w:color w:val="000000"/>
          <w:sz w:val="44"/>
          <w:szCs w:val="44"/>
          <w:u w:val="single"/>
          <w:lang w:eastAsia="ar-SA"/>
        </w:rPr>
      </w:pPr>
      <w:r>
        <w:rPr>
          <w:b/>
          <w:color w:val="000000"/>
          <w:sz w:val="44"/>
          <w:szCs w:val="44"/>
          <w:u w:val="single"/>
          <w:lang w:eastAsia="ar-SA"/>
        </w:rPr>
        <w:t xml:space="preserve">AB </w:t>
      </w:r>
      <w:r w:rsidR="000E7358">
        <w:rPr>
          <w:b/>
          <w:color w:val="000000"/>
          <w:sz w:val="44"/>
          <w:szCs w:val="44"/>
          <w:u w:val="single"/>
          <w:lang w:eastAsia="ar-SA"/>
        </w:rPr>
        <w:t>713</w:t>
      </w:r>
      <w:r>
        <w:rPr>
          <w:b/>
          <w:color w:val="000000"/>
          <w:sz w:val="44"/>
          <w:szCs w:val="44"/>
          <w:u w:val="single"/>
          <w:lang w:eastAsia="ar-SA"/>
        </w:rPr>
        <w:t xml:space="preserve"> </w:t>
      </w:r>
      <w:r w:rsidR="002578F3" w:rsidRPr="00DF1CB1">
        <w:rPr>
          <w:b/>
          <w:color w:val="000000"/>
          <w:sz w:val="44"/>
          <w:szCs w:val="44"/>
          <w:u w:val="single"/>
          <w:lang w:eastAsia="ar-SA"/>
        </w:rPr>
        <w:t>(</w:t>
      </w:r>
      <w:r w:rsidR="000E7358">
        <w:rPr>
          <w:b/>
          <w:color w:val="000000"/>
          <w:sz w:val="44"/>
          <w:szCs w:val="44"/>
          <w:u w:val="single"/>
          <w:lang w:eastAsia="ar-SA"/>
        </w:rPr>
        <w:t>Chu</w:t>
      </w:r>
      <w:r w:rsidR="00724C1B">
        <w:rPr>
          <w:b/>
          <w:color w:val="000000"/>
          <w:sz w:val="44"/>
          <w:szCs w:val="44"/>
          <w:u w:val="single"/>
          <w:lang w:eastAsia="ar-SA"/>
        </w:rPr>
        <w:t>)</w:t>
      </w:r>
      <w:r w:rsidR="002578F3" w:rsidRPr="00DF1CB1">
        <w:rPr>
          <w:b/>
          <w:color w:val="000000"/>
          <w:sz w:val="44"/>
          <w:szCs w:val="44"/>
          <w:u w:val="single"/>
          <w:lang w:eastAsia="ar-SA"/>
        </w:rPr>
        <w:t xml:space="preserve"> – SUPPORT</w:t>
      </w:r>
    </w:p>
    <w:p w:rsidR="002578F3" w:rsidRDefault="002578F3" w:rsidP="007B1B03">
      <w:pPr>
        <w:spacing w:line="276" w:lineRule="auto"/>
      </w:pPr>
    </w:p>
    <w:p w:rsidR="00C07BF7" w:rsidRDefault="00C07BF7" w:rsidP="007B1B03">
      <w:pPr>
        <w:spacing w:line="276" w:lineRule="auto"/>
      </w:pPr>
    </w:p>
    <w:p w:rsidR="000E7358" w:rsidRPr="000E7358" w:rsidRDefault="004D5E55" w:rsidP="000E7358">
      <w:pPr>
        <w:jc w:val="both"/>
        <w:rPr>
          <w:color w:val="000000"/>
          <w:sz w:val="22"/>
          <w:szCs w:val="22"/>
        </w:rPr>
      </w:pPr>
      <w:r w:rsidRPr="004D5E55">
        <w:rPr>
          <w:color w:val="000000"/>
        </w:rPr>
        <w:t>The Consumer Federation of California (CFC)</w:t>
      </w:r>
      <w:r w:rsidR="00927431">
        <w:rPr>
          <w:color w:val="000000"/>
        </w:rPr>
        <w:t xml:space="preserve"> supports </w:t>
      </w:r>
      <w:r w:rsidR="00682419">
        <w:rPr>
          <w:color w:val="000000"/>
        </w:rPr>
        <w:t xml:space="preserve">AB </w:t>
      </w:r>
      <w:r w:rsidR="000E7358">
        <w:rPr>
          <w:color w:val="000000"/>
        </w:rPr>
        <w:t>713</w:t>
      </w:r>
      <w:r w:rsidR="00682419">
        <w:rPr>
          <w:color w:val="000000"/>
        </w:rPr>
        <w:t xml:space="preserve"> (</w:t>
      </w:r>
      <w:r w:rsidR="000E7358">
        <w:rPr>
          <w:color w:val="000000"/>
        </w:rPr>
        <w:t>Chu</w:t>
      </w:r>
      <w:r w:rsidR="00682419">
        <w:rPr>
          <w:color w:val="000000"/>
        </w:rPr>
        <w:t xml:space="preserve">), </w:t>
      </w:r>
      <w:r w:rsidR="00682419">
        <w:rPr>
          <w:color w:val="000000"/>
          <w:sz w:val="22"/>
          <w:szCs w:val="22"/>
        </w:rPr>
        <w:t>which</w:t>
      </w:r>
      <w:r w:rsidR="00D83E3A">
        <w:rPr>
          <w:color w:val="000000"/>
          <w:sz w:val="22"/>
          <w:szCs w:val="22"/>
        </w:rPr>
        <w:t xml:space="preserve"> </w:t>
      </w:r>
      <w:r w:rsidR="007E7E3D" w:rsidRPr="007E7E3D">
        <w:rPr>
          <w:color w:val="000000"/>
          <w:sz w:val="22"/>
          <w:szCs w:val="22"/>
        </w:rPr>
        <w:t xml:space="preserve">would </w:t>
      </w:r>
      <w:r w:rsidR="000E7358">
        <w:rPr>
          <w:color w:val="000000"/>
          <w:sz w:val="22"/>
          <w:szCs w:val="22"/>
        </w:rPr>
        <w:t>ensure</w:t>
      </w:r>
      <w:r w:rsidR="000E7358" w:rsidRPr="000E7358">
        <w:rPr>
          <w:color w:val="000000"/>
          <w:sz w:val="22"/>
          <w:szCs w:val="22"/>
        </w:rPr>
        <w:t xml:space="preserve"> that residents of a Continuing Care Retirement Community (CCRC) have the ability to prompt a fair and adequate review of an involuntary transfer of care. </w:t>
      </w:r>
    </w:p>
    <w:p w:rsidR="000E7358" w:rsidRPr="000E7358" w:rsidRDefault="000E7358" w:rsidP="000E7358">
      <w:pPr>
        <w:jc w:val="both"/>
        <w:rPr>
          <w:color w:val="000000"/>
          <w:sz w:val="22"/>
          <w:szCs w:val="22"/>
        </w:rPr>
      </w:pPr>
    </w:p>
    <w:p w:rsidR="000E7358" w:rsidRPr="000E7358" w:rsidRDefault="000E7358" w:rsidP="000E7358">
      <w:pPr>
        <w:jc w:val="both"/>
        <w:rPr>
          <w:color w:val="000000"/>
          <w:sz w:val="22"/>
          <w:szCs w:val="22"/>
        </w:rPr>
      </w:pPr>
      <w:r w:rsidRPr="000E7358">
        <w:rPr>
          <w:color w:val="000000"/>
          <w:sz w:val="22"/>
          <w:szCs w:val="22"/>
        </w:rPr>
        <w:t xml:space="preserve">Specifically, AB 713 strengthens current law by requiring CCRC providers to conduct an assessment of the resident to help better identify the necessity and appropriateness of the initiated transfer. This bill also requires the department to consider the assessment as a tool to justify the transfer when it is disputed. Any transfer of care, or change in living environment, places stress on an aging senior. Therefore, transfers should be handled with the utmost care and only when it is medically necessary and in the best interest of the senior. </w:t>
      </w:r>
    </w:p>
    <w:p w:rsidR="000E7358" w:rsidRPr="000E7358" w:rsidRDefault="000E7358" w:rsidP="000E7358">
      <w:pPr>
        <w:jc w:val="both"/>
        <w:rPr>
          <w:color w:val="000000"/>
          <w:sz w:val="22"/>
          <w:szCs w:val="22"/>
        </w:rPr>
      </w:pPr>
    </w:p>
    <w:p w:rsidR="000E7358" w:rsidRPr="000E7358" w:rsidRDefault="000E7358" w:rsidP="000E7358">
      <w:pPr>
        <w:jc w:val="both"/>
        <w:rPr>
          <w:color w:val="000000"/>
          <w:sz w:val="22"/>
          <w:szCs w:val="22"/>
        </w:rPr>
      </w:pPr>
      <w:r w:rsidRPr="000E7358">
        <w:rPr>
          <w:color w:val="000000"/>
          <w:sz w:val="22"/>
          <w:szCs w:val="22"/>
        </w:rPr>
        <w:t>Under current law, the resident’s right to dispute a transfer is meaningless. Without a requirement for the department to consider the residents health, physical and cognitive abilities any review is simply a look at whether or not a provider gave adequate notification and followed other procedures. It does not indicate whether a transfer of care, which has significant financial and health impacts, is necessary or appropriate.</w:t>
      </w:r>
    </w:p>
    <w:p w:rsidR="000E7358" w:rsidRPr="000E7358" w:rsidRDefault="000E7358" w:rsidP="000E7358">
      <w:pPr>
        <w:jc w:val="both"/>
        <w:rPr>
          <w:color w:val="000000"/>
          <w:sz w:val="22"/>
          <w:szCs w:val="22"/>
        </w:rPr>
      </w:pPr>
    </w:p>
    <w:p w:rsidR="000E7358" w:rsidRPr="000E7358" w:rsidRDefault="000E7358" w:rsidP="000E7358">
      <w:pPr>
        <w:jc w:val="both"/>
        <w:rPr>
          <w:color w:val="000000"/>
          <w:sz w:val="22"/>
          <w:szCs w:val="22"/>
        </w:rPr>
      </w:pPr>
      <w:r w:rsidRPr="000E7358">
        <w:rPr>
          <w:color w:val="000000"/>
          <w:sz w:val="22"/>
          <w:szCs w:val="22"/>
        </w:rPr>
        <w:t>As the regulatory body, the department has no financial interest in the residents transfer, and therefore they are the most appropriate body to consider whether or not the assessment, conducted by the provider, also justifies a need for the residents transfer.</w:t>
      </w:r>
    </w:p>
    <w:p w:rsidR="007E7E3D" w:rsidRDefault="007E7E3D" w:rsidP="000E7358">
      <w:pPr>
        <w:jc w:val="both"/>
        <w:rPr>
          <w:color w:val="000000"/>
          <w:sz w:val="22"/>
          <w:szCs w:val="22"/>
        </w:rPr>
      </w:pPr>
    </w:p>
    <w:p w:rsidR="002578F3" w:rsidRPr="00DF1CB1" w:rsidRDefault="00927431" w:rsidP="00257B0D">
      <w:pPr>
        <w:jc w:val="both"/>
        <w:rPr>
          <w:b/>
        </w:rPr>
      </w:pPr>
      <w:bookmarkStart w:id="0" w:name="_GoBack"/>
      <w:bookmarkEnd w:id="0"/>
      <w:r>
        <w:rPr>
          <w:b/>
          <w:color w:val="000000"/>
        </w:rPr>
        <w:t xml:space="preserve">We urge your “Aye” vote on AB </w:t>
      </w:r>
      <w:r w:rsidR="000E7358">
        <w:rPr>
          <w:b/>
          <w:color w:val="000000"/>
        </w:rPr>
        <w:t>713</w:t>
      </w:r>
      <w:r w:rsidR="004D5E55" w:rsidRPr="00DF1CB1">
        <w:rPr>
          <w:b/>
          <w:color w:val="000000"/>
        </w:rPr>
        <w:t>.</w:t>
      </w:r>
    </w:p>
    <w:sectPr w:rsidR="002578F3" w:rsidRPr="00DF1CB1" w:rsidSect="000D74F6">
      <w:pgSz w:w="12240" w:h="15840"/>
      <w:pgMar w:top="630" w:right="90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CB" w:rsidRDefault="00C76FCB" w:rsidP="002578F3">
      <w:r>
        <w:separator/>
      </w:r>
    </w:p>
  </w:endnote>
  <w:endnote w:type="continuationSeparator" w:id="0">
    <w:p w:rsidR="00C76FCB" w:rsidRDefault="00C76FCB" w:rsidP="0025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CB" w:rsidRDefault="00C76FCB" w:rsidP="002578F3">
      <w:r>
        <w:separator/>
      </w:r>
    </w:p>
  </w:footnote>
  <w:footnote w:type="continuationSeparator" w:id="0">
    <w:p w:rsidR="00C76FCB" w:rsidRDefault="00C76FCB" w:rsidP="00257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C96"/>
    <w:multiLevelType w:val="hybridMultilevel"/>
    <w:tmpl w:val="010219C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16"/>
    <w:rsid w:val="00002DD7"/>
    <w:rsid w:val="00010585"/>
    <w:rsid w:val="0002444D"/>
    <w:rsid w:val="000671CA"/>
    <w:rsid w:val="00071AC3"/>
    <w:rsid w:val="000720DA"/>
    <w:rsid w:val="00077AD2"/>
    <w:rsid w:val="00080EA9"/>
    <w:rsid w:val="000D3E2E"/>
    <w:rsid w:val="000D74F6"/>
    <w:rsid w:val="000E586A"/>
    <w:rsid w:val="000E626B"/>
    <w:rsid w:val="000E7358"/>
    <w:rsid w:val="001145C2"/>
    <w:rsid w:val="00126E0F"/>
    <w:rsid w:val="00167604"/>
    <w:rsid w:val="001A3FEE"/>
    <w:rsid w:val="001B0F81"/>
    <w:rsid w:val="001C3239"/>
    <w:rsid w:val="002161E7"/>
    <w:rsid w:val="00240945"/>
    <w:rsid w:val="0024401E"/>
    <w:rsid w:val="002578F3"/>
    <w:rsid w:val="00257B0D"/>
    <w:rsid w:val="002A246D"/>
    <w:rsid w:val="002A47C0"/>
    <w:rsid w:val="00355EE3"/>
    <w:rsid w:val="00357D52"/>
    <w:rsid w:val="00365038"/>
    <w:rsid w:val="00414299"/>
    <w:rsid w:val="004507B8"/>
    <w:rsid w:val="004565A5"/>
    <w:rsid w:val="00465915"/>
    <w:rsid w:val="00471975"/>
    <w:rsid w:val="004762B3"/>
    <w:rsid w:val="004D5E55"/>
    <w:rsid w:val="004E044E"/>
    <w:rsid w:val="005113DD"/>
    <w:rsid w:val="00513549"/>
    <w:rsid w:val="00546193"/>
    <w:rsid w:val="00572420"/>
    <w:rsid w:val="005A462F"/>
    <w:rsid w:val="005B12AD"/>
    <w:rsid w:val="005B4C99"/>
    <w:rsid w:val="00606E20"/>
    <w:rsid w:val="006134C6"/>
    <w:rsid w:val="006239E8"/>
    <w:rsid w:val="00634E19"/>
    <w:rsid w:val="0063758A"/>
    <w:rsid w:val="00682419"/>
    <w:rsid w:val="0071159E"/>
    <w:rsid w:val="00713ABD"/>
    <w:rsid w:val="00724C1B"/>
    <w:rsid w:val="0072542D"/>
    <w:rsid w:val="007467D9"/>
    <w:rsid w:val="0077556F"/>
    <w:rsid w:val="00776B79"/>
    <w:rsid w:val="0078346E"/>
    <w:rsid w:val="007B1B03"/>
    <w:rsid w:val="007C2657"/>
    <w:rsid w:val="007D6B60"/>
    <w:rsid w:val="007E7E3D"/>
    <w:rsid w:val="007F0A6A"/>
    <w:rsid w:val="0082457B"/>
    <w:rsid w:val="0083593C"/>
    <w:rsid w:val="00836093"/>
    <w:rsid w:val="00870CE1"/>
    <w:rsid w:val="00890A39"/>
    <w:rsid w:val="008956BF"/>
    <w:rsid w:val="008A4BB3"/>
    <w:rsid w:val="00927431"/>
    <w:rsid w:val="00942124"/>
    <w:rsid w:val="00957064"/>
    <w:rsid w:val="00A63B6A"/>
    <w:rsid w:val="00A86044"/>
    <w:rsid w:val="00AC3D7E"/>
    <w:rsid w:val="00AE1BD1"/>
    <w:rsid w:val="00B7219A"/>
    <w:rsid w:val="00B95A3A"/>
    <w:rsid w:val="00BD46AF"/>
    <w:rsid w:val="00BF4230"/>
    <w:rsid w:val="00BF4E73"/>
    <w:rsid w:val="00C07BF7"/>
    <w:rsid w:val="00C311DC"/>
    <w:rsid w:val="00C517F0"/>
    <w:rsid w:val="00C76FCB"/>
    <w:rsid w:val="00C87653"/>
    <w:rsid w:val="00C9216A"/>
    <w:rsid w:val="00CF778D"/>
    <w:rsid w:val="00D83E3A"/>
    <w:rsid w:val="00DB0954"/>
    <w:rsid w:val="00DF1CB1"/>
    <w:rsid w:val="00DF7D3C"/>
    <w:rsid w:val="00E41B17"/>
    <w:rsid w:val="00E55D80"/>
    <w:rsid w:val="00E62FB1"/>
    <w:rsid w:val="00E63388"/>
    <w:rsid w:val="00E670D8"/>
    <w:rsid w:val="00E75310"/>
    <w:rsid w:val="00E8526B"/>
    <w:rsid w:val="00E8761F"/>
    <w:rsid w:val="00E87EF2"/>
    <w:rsid w:val="00E9696B"/>
    <w:rsid w:val="00ED3661"/>
    <w:rsid w:val="00ED5841"/>
    <w:rsid w:val="00F2533D"/>
    <w:rsid w:val="00F53949"/>
    <w:rsid w:val="00F7403C"/>
    <w:rsid w:val="00F9120F"/>
    <w:rsid w:val="00F9426B"/>
    <w:rsid w:val="00FA368B"/>
    <w:rsid w:val="00FE1016"/>
    <w:rsid w:val="00FE4684"/>
    <w:rsid w:val="00FF65EB"/>
    <w:rsid w:val="00FF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docId w15:val="{45D34E35-896A-41F5-8BF8-62F41F51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1016"/>
    <w:rPr>
      <w:color w:val="0000FF"/>
      <w:u w:val="single"/>
    </w:rPr>
  </w:style>
  <w:style w:type="paragraph" w:styleId="BalloonText">
    <w:name w:val="Balloon Text"/>
    <w:basedOn w:val="Normal"/>
    <w:link w:val="BalloonTextChar"/>
    <w:uiPriority w:val="99"/>
    <w:semiHidden/>
    <w:unhideWhenUsed/>
    <w:rsid w:val="00FE1016"/>
    <w:rPr>
      <w:rFonts w:ascii="Tahoma" w:hAnsi="Tahoma" w:cs="Tahoma"/>
      <w:sz w:val="16"/>
      <w:szCs w:val="16"/>
    </w:rPr>
  </w:style>
  <w:style w:type="character" w:customStyle="1" w:styleId="BalloonTextChar">
    <w:name w:val="Balloon Text Char"/>
    <w:basedOn w:val="DefaultParagraphFont"/>
    <w:link w:val="BalloonText"/>
    <w:uiPriority w:val="99"/>
    <w:semiHidden/>
    <w:rsid w:val="00FE1016"/>
    <w:rPr>
      <w:rFonts w:ascii="Tahoma" w:eastAsia="Times New Roman" w:hAnsi="Tahoma" w:cs="Tahoma"/>
      <w:sz w:val="16"/>
      <w:szCs w:val="16"/>
    </w:rPr>
  </w:style>
  <w:style w:type="paragraph" w:styleId="Header">
    <w:name w:val="header"/>
    <w:basedOn w:val="Normal"/>
    <w:link w:val="HeaderChar"/>
    <w:uiPriority w:val="99"/>
    <w:unhideWhenUsed/>
    <w:rsid w:val="002578F3"/>
    <w:pPr>
      <w:tabs>
        <w:tab w:val="center" w:pos="4680"/>
        <w:tab w:val="right" w:pos="9360"/>
      </w:tabs>
    </w:pPr>
  </w:style>
  <w:style w:type="character" w:customStyle="1" w:styleId="HeaderChar">
    <w:name w:val="Header Char"/>
    <w:basedOn w:val="DefaultParagraphFont"/>
    <w:link w:val="Header"/>
    <w:uiPriority w:val="99"/>
    <w:rsid w:val="002578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8F3"/>
    <w:pPr>
      <w:tabs>
        <w:tab w:val="center" w:pos="4680"/>
        <w:tab w:val="right" w:pos="9360"/>
      </w:tabs>
    </w:pPr>
  </w:style>
  <w:style w:type="character" w:customStyle="1" w:styleId="FooterChar">
    <w:name w:val="Footer Char"/>
    <w:basedOn w:val="DefaultParagraphFont"/>
    <w:link w:val="Footer"/>
    <w:uiPriority w:val="99"/>
    <w:rsid w:val="002578F3"/>
    <w:rPr>
      <w:rFonts w:ascii="Times New Roman" w:eastAsia="Times New Roman" w:hAnsi="Times New Roman" w:cs="Times New Roman"/>
      <w:sz w:val="24"/>
      <w:szCs w:val="24"/>
    </w:rPr>
  </w:style>
  <w:style w:type="paragraph" w:styleId="ListParagraph">
    <w:name w:val="List Paragraph"/>
    <w:basedOn w:val="Normal"/>
    <w:uiPriority w:val="34"/>
    <w:qFormat/>
    <w:rsid w:val="004507B8"/>
    <w:pPr>
      <w:ind w:left="720"/>
      <w:contextualSpacing/>
    </w:pPr>
  </w:style>
  <w:style w:type="paragraph" w:customStyle="1" w:styleId="yiv2864679278msonormal">
    <w:name w:val="yiv2864679278msonormal"/>
    <w:basedOn w:val="Normal"/>
    <w:rsid w:val="000E62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3">
      <w:bodyDiv w:val="1"/>
      <w:marLeft w:val="0"/>
      <w:marRight w:val="0"/>
      <w:marTop w:val="0"/>
      <w:marBottom w:val="0"/>
      <w:divBdr>
        <w:top w:val="none" w:sz="0" w:space="0" w:color="auto"/>
        <w:left w:val="none" w:sz="0" w:space="0" w:color="auto"/>
        <w:bottom w:val="none" w:sz="0" w:space="0" w:color="auto"/>
        <w:right w:val="none" w:sz="0" w:space="0" w:color="auto"/>
      </w:divBdr>
    </w:div>
    <w:div w:id="86655552">
      <w:bodyDiv w:val="1"/>
      <w:marLeft w:val="0"/>
      <w:marRight w:val="0"/>
      <w:marTop w:val="0"/>
      <w:marBottom w:val="0"/>
      <w:divBdr>
        <w:top w:val="none" w:sz="0" w:space="0" w:color="auto"/>
        <w:left w:val="none" w:sz="0" w:space="0" w:color="auto"/>
        <w:bottom w:val="none" w:sz="0" w:space="0" w:color="auto"/>
        <w:right w:val="none" w:sz="0" w:space="0" w:color="auto"/>
      </w:divBdr>
    </w:div>
    <w:div w:id="101001362">
      <w:bodyDiv w:val="1"/>
      <w:marLeft w:val="0"/>
      <w:marRight w:val="0"/>
      <w:marTop w:val="0"/>
      <w:marBottom w:val="0"/>
      <w:divBdr>
        <w:top w:val="none" w:sz="0" w:space="0" w:color="auto"/>
        <w:left w:val="none" w:sz="0" w:space="0" w:color="auto"/>
        <w:bottom w:val="none" w:sz="0" w:space="0" w:color="auto"/>
        <w:right w:val="none" w:sz="0" w:space="0" w:color="auto"/>
      </w:divBdr>
    </w:div>
    <w:div w:id="456140994">
      <w:bodyDiv w:val="1"/>
      <w:marLeft w:val="0"/>
      <w:marRight w:val="0"/>
      <w:marTop w:val="0"/>
      <w:marBottom w:val="0"/>
      <w:divBdr>
        <w:top w:val="none" w:sz="0" w:space="0" w:color="auto"/>
        <w:left w:val="none" w:sz="0" w:space="0" w:color="auto"/>
        <w:bottom w:val="none" w:sz="0" w:space="0" w:color="auto"/>
        <w:right w:val="none" w:sz="0" w:space="0" w:color="auto"/>
      </w:divBdr>
    </w:div>
    <w:div w:id="876508599">
      <w:bodyDiv w:val="1"/>
      <w:marLeft w:val="0"/>
      <w:marRight w:val="0"/>
      <w:marTop w:val="0"/>
      <w:marBottom w:val="0"/>
      <w:divBdr>
        <w:top w:val="none" w:sz="0" w:space="0" w:color="auto"/>
        <w:left w:val="none" w:sz="0" w:space="0" w:color="auto"/>
        <w:bottom w:val="none" w:sz="0" w:space="0" w:color="auto"/>
        <w:right w:val="none" w:sz="0" w:space="0" w:color="auto"/>
      </w:divBdr>
    </w:div>
    <w:div w:id="1099133351">
      <w:bodyDiv w:val="1"/>
      <w:marLeft w:val="0"/>
      <w:marRight w:val="0"/>
      <w:marTop w:val="0"/>
      <w:marBottom w:val="0"/>
      <w:divBdr>
        <w:top w:val="none" w:sz="0" w:space="0" w:color="auto"/>
        <w:left w:val="none" w:sz="0" w:space="0" w:color="auto"/>
        <w:bottom w:val="none" w:sz="0" w:space="0" w:color="auto"/>
        <w:right w:val="none" w:sz="0" w:space="0" w:color="auto"/>
      </w:divBdr>
    </w:div>
    <w:div w:id="1122110083">
      <w:bodyDiv w:val="1"/>
      <w:marLeft w:val="0"/>
      <w:marRight w:val="0"/>
      <w:marTop w:val="0"/>
      <w:marBottom w:val="0"/>
      <w:divBdr>
        <w:top w:val="none" w:sz="0" w:space="0" w:color="auto"/>
        <w:left w:val="none" w:sz="0" w:space="0" w:color="auto"/>
        <w:bottom w:val="none" w:sz="0" w:space="0" w:color="auto"/>
        <w:right w:val="none" w:sz="0" w:space="0" w:color="auto"/>
      </w:divBdr>
    </w:div>
    <w:div w:id="1239514665">
      <w:bodyDiv w:val="1"/>
      <w:marLeft w:val="0"/>
      <w:marRight w:val="0"/>
      <w:marTop w:val="0"/>
      <w:marBottom w:val="0"/>
      <w:divBdr>
        <w:top w:val="none" w:sz="0" w:space="0" w:color="auto"/>
        <w:left w:val="none" w:sz="0" w:space="0" w:color="auto"/>
        <w:bottom w:val="none" w:sz="0" w:space="0" w:color="auto"/>
        <w:right w:val="none" w:sz="0" w:space="0" w:color="auto"/>
      </w:divBdr>
      <w:divsChild>
        <w:div w:id="111286522">
          <w:marLeft w:val="0"/>
          <w:marRight w:val="0"/>
          <w:marTop w:val="0"/>
          <w:marBottom w:val="0"/>
          <w:divBdr>
            <w:top w:val="none" w:sz="0" w:space="0" w:color="auto"/>
            <w:left w:val="none" w:sz="0" w:space="0" w:color="auto"/>
            <w:bottom w:val="none" w:sz="0" w:space="0" w:color="auto"/>
            <w:right w:val="none" w:sz="0" w:space="0" w:color="auto"/>
          </w:divBdr>
          <w:divsChild>
            <w:div w:id="1173565614">
              <w:marLeft w:val="0"/>
              <w:marRight w:val="0"/>
              <w:marTop w:val="0"/>
              <w:marBottom w:val="0"/>
              <w:divBdr>
                <w:top w:val="none" w:sz="0" w:space="0" w:color="auto"/>
                <w:left w:val="none" w:sz="0" w:space="0" w:color="auto"/>
                <w:bottom w:val="none" w:sz="0" w:space="0" w:color="auto"/>
                <w:right w:val="none" w:sz="0" w:space="0" w:color="auto"/>
              </w:divBdr>
              <w:divsChild>
                <w:div w:id="1402488799">
                  <w:marLeft w:val="0"/>
                  <w:marRight w:val="0"/>
                  <w:marTop w:val="0"/>
                  <w:marBottom w:val="0"/>
                  <w:divBdr>
                    <w:top w:val="none" w:sz="0" w:space="0" w:color="auto"/>
                    <w:left w:val="none" w:sz="0" w:space="0" w:color="auto"/>
                    <w:bottom w:val="none" w:sz="0" w:space="0" w:color="auto"/>
                    <w:right w:val="none" w:sz="0" w:space="0" w:color="auto"/>
                  </w:divBdr>
                  <w:divsChild>
                    <w:div w:id="121965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37308618">
      <w:bodyDiv w:val="1"/>
      <w:marLeft w:val="0"/>
      <w:marRight w:val="0"/>
      <w:marTop w:val="0"/>
      <w:marBottom w:val="0"/>
      <w:divBdr>
        <w:top w:val="none" w:sz="0" w:space="0" w:color="auto"/>
        <w:left w:val="none" w:sz="0" w:space="0" w:color="auto"/>
        <w:bottom w:val="none" w:sz="0" w:space="0" w:color="auto"/>
        <w:right w:val="none" w:sz="0" w:space="0" w:color="auto"/>
      </w:divBdr>
    </w:div>
    <w:div w:id="1827284463">
      <w:bodyDiv w:val="1"/>
      <w:marLeft w:val="0"/>
      <w:marRight w:val="0"/>
      <w:marTop w:val="0"/>
      <w:marBottom w:val="0"/>
      <w:divBdr>
        <w:top w:val="none" w:sz="0" w:space="0" w:color="auto"/>
        <w:left w:val="none" w:sz="0" w:space="0" w:color="auto"/>
        <w:bottom w:val="none" w:sz="0" w:space="0" w:color="auto"/>
        <w:right w:val="none" w:sz="0" w:space="0" w:color="auto"/>
      </w:divBdr>
    </w:div>
    <w:div w:id="2075664457">
      <w:bodyDiv w:val="1"/>
      <w:marLeft w:val="0"/>
      <w:marRight w:val="0"/>
      <w:marTop w:val="0"/>
      <w:marBottom w:val="0"/>
      <w:divBdr>
        <w:top w:val="none" w:sz="0" w:space="0" w:color="auto"/>
        <w:left w:val="none" w:sz="0" w:space="0" w:color="auto"/>
        <w:bottom w:val="none" w:sz="0" w:space="0" w:color="auto"/>
        <w:right w:val="none" w:sz="0" w:space="0" w:color="auto"/>
      </w:divBdr>
    </w:div>
    <w:div w:id="2116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consumer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21D0E-F99E-4FCC-B37A-D9FFBCD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Aaron</cp:lastModifiedBy>
  <cp:revision>3</cp:revision>
  <cp:lastPrinted>2016-01-26T19:43:00Z</cp:lastPrinted>
  <dcterms:created xsi:type="dcterms:W3CDTF">2017-05-31T16:17:00Z</dcterms:created>
  <dcterms:modified xsi:type="dcterms:W3CDTF">2017-05-31T16:19:00Z</dcterms:modified>
</cp:coreProperties>
</file>